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ЩЕПКИНСКОГО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Toc105952706"/>
      <w:bookmarkStart w:id="1" w:name="_Toc105952706"/>
      <w:bookmarkEnd w:id="1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 30 ноября  2022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6"/>
          <w:szCs w:val="26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6"/>
            <w:szCs w:val="26"/>
          </w:rPr>
          <w:t>кодекс</w:t>
        </w:r>
      </w:hyperlink>
      <w:r>
        <w:rPr>
          <w:rFonts w:eastAsia="Times New Roman" w:ascii="Times New Roman" w:hAnsi="Times New Roman"/>
          <w:sz w:val="26"/>
          <w:szCs w:val="26"/>
        </w:rPr>
        <w:t>а Российской Федерации</w:t>
      </w:r>
      <w:r>
        <w:rPr>
          <w:rFonts w:ascii="Times New Roman" w:hAnsi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  -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1. Внести в Решение Собрания депутатов Щепкинского сельского поселения от 15.09.2014 № 66 «Об установлении земельного налога» следующие изменения: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Times New Roman" w:ascii="Times New Roman" w:hAnsi="Times New Roman"/>
          <w:sz w:val="26"/>
          <w:szCs w:val="26"/>
        </w:rPr>
        <w:t>1 Пункт 3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eastAsia="Times New Roman"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Муниципальные бюджетные учреждения, финансируемые из бюджета Аксайского района, в отношении земельных участков, используемых для нужд образования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уплачивают земельный налог в 2022 и 2023 году в размере 0,3 процента от кадастровой стоимости.  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опубликования, а  также применяется к правоотношениям, возникшим с 01.01.2022 года.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Председатель Собрания депутатов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Глава Щепкинского сельского поселения                               ___________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30.11.2022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№  </w:t>
      </w:r>
      <w:r>
        <w:rPr>
          <w:rFonts w:ascii="Times New Roman" w:hAnsi="Times New Roman"/>
          <w:sz w:val="20"/>
          <w:szCs w:val="20"/>
          <w:lang w:eastAsia="en-US"/>
        </w:rPr>
        <w:t>67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  <w:bookmarkStart w:id="2" w:name="_GoBack"/>
      <w:bookmarkStart w:id="3" w:name="_GoBack"/>
      <w:bookmarkEnd w:id="3"/>
    </w:p>
    <w:p>
      <w:pPr>
        <w:pStyle w:val="ConsPlusNormal"/>
        <w:widowControl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6"/>
      <w:szCs w:val="2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99F3-893E-4362-A95A-F9BBAED7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1</Pages>
  <Words>192</Words>
  <Characters>1337</Characters>
  <CharactersWithSpaces>1620</CharactersWithSpaces>
  <Paragraphs>22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2022-11-24T08:44:00Z</dcterms:created>
  <dc:creator>Страдная</dc:creator>
  <dc:description/>
  <dc:language>ru-RU</dc:language>
  <cp:lastModifiedBy/>
  <cp:lastPrinted>2022-12-05T13:59:00Z</cp:lastPrinted>
  <dcterms:modified xsi:type="dcterms:W3CDTF">2022-12-12T11:37:30Z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