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 Меры социальной поддержки компенсации ЖКУ </w:t>
      </w:r>
      <w:r>
        <w:rPr>
          <w:rFonts w:ascii="Times New Roman" w:hAnsi="Times New Roman"/>
          <w:b w:val="1"/>
          <w:sz w:val="28"/>
        </w:rPr>
        <w:t>членам семей, принимающих участие в С</w:t>
      </w:r>
      <w:r>
        <w:rPr>
          <w:rFonts w:ascii="Times New Roman" w:hAnsi="Times New Roman"/>
          <w:b w:val="1"/>
          <w:sz w:val="28"/>
        </w:rPr>
        <w:t>пециальной военной операции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полномочия данной меры исполняются органами местного самоуправления,  осуществляющие функции в сфере социальной защиты населения</w:t>
      </w:r>
      <w:r>
        <w:rPr>
          <w:rFonts w:ascii="Times New Roman" w:hAnsi="Times New Roman"/>
          <w:b w:val="1"/>
          <w:sz w:val="28"/>
        </w:rPr>
        <w:t>.</w:t>
      </w:r>
    </w:p>
    <w:p w14:paraId="02000000">
      <w:pPr>
        <w:spacing w:after="0"/>
        <w:ind w:firstLine="709" w:left="0"/>
        <w:contextualSpacing w:val="1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z w:val="28"/>
        </w:rPr>
        <w:t xml:space="preserve"> соответствии с Областным законом от 28.11.2023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№ 45-ЗС «О социальной поддержке членов семей лиц, принимающих участие в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специальной военной операции»</w:t>
      </w:r>
      <w:r>
        <w:rPr>
          <w:rFonts w:ascii="Times New Roman" w:hAnsi="Times New Roman"/>
          <w:sz w:val="28"/>
        </w:rPr>
        <w:t xml:space="preserve"> с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01.01.2024 для членов семей граждан Российской Федерации,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принимающих участие в </w:t>
      </w:r>
      <w:r>
        <w:rPr>
          <w:rFonts w:ascii="Times New Roman" w:hAnsi="Times New Roman"/>
          <w:b w:val="1"/>
          <w:sz w:val="28"/>
        </w:rPr>
        <w:t>Специальной военной операции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предусмотрена </w:t>
      </w:r>
      <w:r>
        <w:rPr>
          <w:rFonts w:ascii="Times New Roman" w:hAnsi="Times New Roman"/>
          <w:sz w:val="28"/>
        </w:rPr>
        <w:t xml:space="preserve">новая </w:t>
      </w:r>
      <w:r>
        <w:rPr>
          <w:rFonts w:ascii="Times New Roman" w:hAnsi="Times New Roman"/>
          <w:sz w:val="28"/>
        </w:rPr>
        <w:t>мера социальной поддержки в виде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компенсации расходов на оплату жилого помещения и коммунальных услуг, в том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числе взноса на капитальный ремонт общего имущества в</w:t>
      </w:r>
      <w:r>
        <w:rPr>
          <w:rFonts w:ascii="Times New Roman" w:hAnsi="Times New Roman"/>
          <w:sz w:val="28"/>
        </w:rPr>
        <w:t xml:space="preserve"> многоквартирном </w:t>
      </w:r>
      <w:r>
        <w:rPr>
          <w:rFonts w:ascii="Times New Roman" w:hAnsi="Times New Roman"/>
          <w:sz w:val="28"/>
        </w:rPr>
        <w:t>доме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(далее – компенсация на ЖКУ).</w:t>
      </w:r>
    </w:p>
    <w:p w14:paraId="03000000">
      <w:pPr>
        <w:spacing w:after="0"/>
        <w:ind w:firstLine="709" w:left="0"/>
        <w:contextualSpacing w:val="1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Порядок оказания данной меры социальной поддержки утверждён </w:t>
      </w:r>
      <w:r>
        <w:rPr>
          <w:rFonts w:ascii="Times New Roman" w:hAnsi="Times New Roman"/>
          <w:sz w:val="28"/>
        </w:rPr>
        <w:t>Постановление</w:t>
      </w:r>
      <w:r>
        <w:rPr>
          <w:rFonts w:ascii="Times New Roman" w:hAnsi="Times New Roman"/>
          <w:sz w:val="28"/>
        </w:rPr>
        <w:t>м</w:t>
      </w:r>
      <w:r>
        <w:rPr>
          <w:rFonts w:ascii="Times New Roman" w:hAnsi="Times New Roman"/>
          <w:sz w:val="28"/>
        </w:rPr>
        <w:t xml:space="preserve"> Правительства Рос</w:t>
      </w:r>
      <w:r>
        <w:rPr>
          <w:rFonts w:ascii="Times New Roman" w:hAnsi="Times New Roman"/>
          <w:sz w:val="28"/>
        </w:rPr>
        <w:t xml:space="preserve">товской области от 21.12.2023 № </w:t>
      </w:r>
      <w:r>
        <w:rPr>
          <w:rFonts w:ascii="Times New Roman" w:hAnsi="Times New Roman"/>
          <w:sz w:val="28"/>
        </w:rPr>
        <w:t>925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"О порядке предоставления компенсации расходов на оплату жилого помещения и коммунальных услуг, в том числе взноса на капитальный ремонт общего имущества в многоквартирном доме, членам семей граждан Российской Федерации, принимающих участие в специальной военной операции"</w:t>
      </w:r>
    </w:p>
    <w:p w14:paraId="04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</w:t>
      </w:r>
      <w:r>
        <w:rPr>
          <w:rFonts w:ascii="Times New Roman" w:hAnsi="Times New Roman"/>
          <w:sz w:val="28"/>
        </w:rPr>
        <w:t xml:space="preserve">Компенсация на ЖКУ предоставляется </w:t>
      </w:r>
      <w:r>
        <w:rPr>
          <w:rFonts w:ascii="Times New Roman" w:hAnsi="Times New Roman"/>
          <w:b w:val="1"/>
          <w:sz w:val="28"/>
        </w:rPr>
        <w:t>членам семей</w:t>
      </w:r>
      <w:r>
        <w:rPr>
          <w:rFonts w:ascii="Times New Roman" w:hAnsi="Times New Roman"/>
          <w:sz w:val="28"/>
        </w:rPr>
        <w:t xml:space="preserve"> лиц, принимающих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участие в СВО, по месту их жительства или по месту пребывания на территории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Ростовской области, в </w:t>
      </w:r>
      <w:r>
        <w:rPr>
          <w:rFonts w:ascii="Times New Roman" w:hAnsi="Times New Roman"/>
          <w:sz w:val="28"/>
        </w:rPr>
        <w:t>котором</w:t>
      </w:r>
      <w:r>
        <w:rPr>
          <w:rFonts w:ascii="Times New Roman" w:hAnsi="Times New Roman"/>
          <w:sz w:val="28"/>
        </w:rPr>
        <w:t xml:space="preserve"> они совместно зарегистрированы </w:t>
      </w:r>
      <w:bookmarkStart w:id="1" w:name="_GoBack"/>
      <w:r>
        <w:rPr>
          <w:rFonts w:ascii="Times New Roman" w:hAnsi="Times New Roman"/>
          <w:b w:val="1"/>
          <w:sz w:val="28"/>
        </w:rPr>
        <w:t>с лицом, принимающим участие в СВО</w:t>
      </w:r>
      <w:bookmarkEnd w:id="1"/>
      <w:r>
        <w:rPr>
          <w:rFonts w:ascii="Times New Roman" w:hAnsi="Times New Roman"/>
          <w:sz w:val="28"/>
        </w:rPr>
        <w:t>, на дату обращения за получением компенсации.</w:t>
      </w:r>
    </w:p>
    <w:p w14:paraId="05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 xml:space="preserve">   </w:t>
      </w:r>
      <w:r>
        <w:rPr>
          <w:rFonts w:ascii="Times New Roman" w:hAnsi="Times New Roman"/>
          <w:b w:val="1"/>
          <w:sz w:val="28"/>
        </w:rPr>
        <w:t>К гражданам Российской Федерации, принимающим участие в СВО, относятся:</w:t>
      </w:r>
    </w:p>
    <w:p w14:paraId="06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- </w:t>
      </w:r>
      <w:r>
        <w:rPr>
          <w:rFonts w:ascii="Times New Roman" w:hAnsi="Times New Roman"/>
          <w:sz w:val="28"/>
        </w:rPr>
        <w:t xml:space="preserve">призванные </w:t>
      </w:r>
      <w:r>
        <w:rPr>
          <w:rFonts w:ascii="Times New Roman" w:hAnsi="Times New Roman"/>
          <w:sz w:val="28"/>
        </w:rPr>
        <w:t>на военную службу по мобилизации в Вооруженные Силы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Российской Федерации в соответствии с Указом</w:t>
      </w:r>
      <w:r>
        <w:rPr>
          <w:rFonts w:ascii="Times New Roman" w:hAnsi="Times New Roman"/>
          <w:sz w:val="28"/>
        </w:rPr>
        <w:t xml:space="preserve"> Президента Российской Федерации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от 21.09.2022 № 647 «Об объявлении частичной мобилизации в Российской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Федерации»;</w:t>
      </w:r>
    </w:p>
    <w:p w14:paraId="07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- </w:t>
      </w:r>
      <w:r>
        <w:rPr>
          <w:rFonts w:ascii="Times New Roman" w:hAnsi="Times New Roman"/>
          <w:sz w:val="28"/>
        </w:rPr>
        <w:t>заключившие в связи с участием в специальной военной операции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с 24 февраля 2022 г. и позднее контракт о прохождении военной службы в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соответствии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с 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пунктом 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7 статьи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38 Федерального закона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от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28.03.1998</w:t>
      </w:r>
      <w:r>
        <w:rPr>
          <w:rFonts w:ascii="Times New Roman" w:hAnsi="Times New Roman"/>
          <w:sz w:val="28"/>
        </w:rPr>
        <w:t xml:space="preserve">  </w:t>
      </w:r>
      <w:r>
        <w:rPr>
          <w:rFonts w:ascii="Times New Roman" w:hAnsi="Times New Roman"/>
          <w:sz w:val="28"/>
        </w:rPr>
        <w:t>№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53-ФЗ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«О воинской обязанности и военной службе»;</w:t>
      </w:r>
    </w:p>
    <w:p w14:paraId="08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</w:t>
      </w:r>
      <w:r>
        <w:rPr>
          <w:rFonts w:ascii="Times New Roman" w:hAnsi="Times New Roman"/>
          <w:sz w:val="28"/>
        </w:rPr>
        <w:t xml:space="preserve">- </w:t>
      </w:r>
      <w:r>
        <w:rPr>
          <w:rFonts w:ascii="Times New Roman" w:hAnsi="Times New Roman"/>
          <w:sz w:val="28"/>
        </w:rPr>
        <w:t>заключившие контракт о пребывании в добровольческом формировании (о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добровольном содействии в выполнении задач, возложенных на </w:t>
      </w:r>
      <w:r>
        <w:rPr>
          <w:rFonts w:ascii="Times New Roman" w:hAnsi="Times New Roman"/>
          <w:sz w:val="28"/>
        </w:rPr>
        <w:t xml:space="preserve">   Во</w:t>
      </w:r>
      <w:r>
        <w:rPr>
          <w:rFonts w:ascii="Times New Roman" w:hAnsi="Times New Roman"/>
          <w:sz w:val="28"/>
        </w:rPr>
        <w:t>оруженные Силы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Российской Федерации), начиная с 24 февраля 2022 г. и позднее.</w:t>
      </w:r>
    </w:p>
    <w:p w14:paraId="09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 xml:space="preserve">   </w:t>
      </w:r>
      <w:r>
        <w:rPr>
          <w:rFonts w:ascii="Times New Roman" w:hAnsi="Times New Roman"/>
          <w:b w:val="1"/>
          <w:sz w:val="28"/>
        </w:rPr>
        <w:t>К членам семей лиц, принимающих участие в СВО, относятся:</w:t>
      </w:r>
    </w:p>
    <w:p w14:paraId="0A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- </w:t>
      </w:r>
      <w:r>
        <w:rPr>
          <w:rFonts w:ascii="Times New Roman" w:hAnsi="Times New Roman"/>
          <w:sz w:val="28"/>
        </w:rPr>
        <w:t>супруг (супруга);</w:t>
      </w:r>
      <w:r>
        <w:rPr>
          <w:rFonts w:ascii="Times New Roman" w:hAnsi="Times New Roman"/>
          <w:sz w:val="28"/>
        </w:rPr>
        <w:t xml:space="preserve"> </w:t>
      </w:r>
    </w:p>
    <w:p w14:paraId="0B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- </w:t>
      </w:r>
      <w:r>
        <w:rPr>
          <w:rFonts w:ascii="Times New Roman" w:hAnsi="Times New Roman"/>
          <w:sz w:val="28"/>
        </w:rPr>
        <w:t>родители, не лишенные родительских прав или не ограниченные в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родительских правах;</w:t>
      </w:r>
    </w:p>
    <w:p w14:paraId="0C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- </w:t>
      </w:r>
      <w:r>
        <w:rPr>
          <w:rFonts w:ascii="Times New Roman" w:hAnsi="Times New Roman"/>
          <w:sz w:val="28"/>
        </w:rPr>
        <w:t>дети, не достигшие возраста 18 лет или старше этого возраста, если они стали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инвалидами до достижения ими возраста 18 лет, а также дети,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обучающиеся в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образовательных организациях по очной форме обучения, но не старше 23 лет;</w:t>
      </w:r>
    </w:p>
    <w:p w14:paraId="0D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- </w:t>
      </w:r>
      <w:r>
        <w:rPr>
          <w:rFonts w:ascii="Times New Roman" w:hAnsi="Times New Roman"/>
          <w:sz w:val="28"/>
        </w:rPr>
        <w:t>ли</w:t>
      </w:r>
      <w:r>
        <w:rPr>
          <w:rFonts w:ascii="Times New Roman" w:hAnsi="Times New Roman"/>
          <w:sz w:val="28"/>
        </w:rPr>
        <w:t xml:space="preserve">ца, находящиеся на их иждивении, в </w:t>
      </w:r>
      <w:r>
        <w:rPr>
          <w:rFonts w:ascii="Times New Roman" w:hAnsi="Times New Roman"/>
          <w:sz w:val="28"/>
        </w:rPr>
        <w:t>порядке</w:t>
      </w:r>
      <w:r>
        <w:rPr>
          <w:rFonts w:ascii="Times New Roman" w:hAnsi="Times New Roman"/>
          <w:sz w:val="28"/>
        </w:rPr>
        <w:t xml:space="preserve"> установленном законодательством РФ</w:t>
      </w:r>
      <w:r>
        <w:rPr>
          <w:rFonts w:ascii="Times New Roman" w:hAnsi="Times New Roman"/>
          <w:sz w:val="28"/>
        </w:rPr>
        <w:t>.</w:t>
      </w:r>
    </w:p>
    <w:p w14:paraId="0E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</w:t>
      </w:r>
      <w:r>
        <w:rPr>
          <w:rFonts w:ascii="Times New Roman" w:hAnsi="Times New Roman"/>
          <w:sz w:val="28"/>
        </w:rPr>
        <w:t>Компенсация на ЖКУ назначается с месяца обращения по 31.12.2024, либо до прекращения срока действия контракта (увольнения с военной службы)</w:t>
      </w:r>
      <w:r>
        <w:rPr>
          <w:rFonts w:ascii="Times New Roman" w:hAnsi="Times New Roman"/>
          <w:sz w:val="28"/>
        </w:rPr>
        <w:t>.</w:t>
      </w:r>
    </w:p>
    <w:p w14:paraId="0F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</w:t>
      </w:r>
      <w:r>
        <w:rPr>
          <w:rFonts w:ascii="Times New Roman" w:hAnsi="Times New Roman"/>
          <w:sz w:val="28"/>
        </w:rPr>
        <w:t>Для получения компенсации на ЖКУ члену семьи лица, принимающего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участие в СВО, необходимо обратиться в </w:t>
      </w:r>
      <w:r>
        <w:rPr>
          <w:rFonts w:ascii="Times New Roman" w:hAnsi="Times New Roman"/>
          <w:sz w:val="28"/>
        </w:rPr>
        <w:t>управление</w:t>
      </w:r>
      <w:r>
        <w:rPr>
          <w:rFonts w:ascii="Times New Roman" w:hAnsi="Times New Roman"/>
          <w:sz w:val="28"/>
        </w:rPr>
        <w:t xml:space="preserve"> социальной защиты населения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по месту жительства (по месту пребывания) по адресу совместной регистрации с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лицом, принимающим участие в СВО.</w:t>
      </w:r>
      <w:r>
        <w:rPr>
          <w:rFonts w:ascii="Times New Roman" w:hAnsi="Times New Roman"/>
          <w:sz w:val="28"/>
        </w:rPr>
        <w:t xml:space="preserve"> Прием документов осуществляется по адресу: г. Аксай, пер. Бондарчука, 16, вторник и четверг с 8-00 до 17-00, перерыв с 12-00 до 13-00.</w:t>
      </w:r>
    </w:p>
    <w:p w14:paraId="10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Перечень необходимых документов:</w:t>
      </w:r>
    </w:p>
    <w:p w14:paraId="11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 xml:space="preserve">- </w:t>
      </w:r>
      <w:r>
        <w:rPr>
          <w:rFonts w:ascii="Times New Roman" w:hAnsi="Times New Roman"/>
          <w:b w:val="1"/>
          <w:sz w:val="28"/>
        </w:rPr>
        <w:t>заявление по форме, с приложением следующих документов (либо их заверенных копий):</w:t>
      </w:r>
    </w:p>
    <w:p w14:paraId="12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- документ, удостоверяющий личность и подтверждающий гражданство Российской Федерации гражданина и лица, принимающего участие в специальной военной операции;</w:t>
      </w:r>
    </w:p>
    <w:p w14:paraId="13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решение суда об установлении факта нахождения гражданина на иждивении лица, принимающего участие в специальной военной операции (в случае наличия в семье граждан, находящихся на иждивении лица, принимающего участие в специальной военной операции);</w:t>
      </w:r>
    </w:p>
    <w:p w14:paraId="14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 - документ о призыве лица, принимающего участие в специальной военной операции, на военную службу по мобилизации, выданный военным комиссариатом;</w:t>
      </w:r>
    </w:p>
    <w:p w14:paraId="15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- </w:t>
      </w:r>
      <w:r>
        <w:rPr>
          <w:rFonts w:ascii="Times New Roman" w:hAnsi="Times New Roman"/>
          <w:b w:val="1"/>
          <w:sz w:val="28"/>
        </w:rPr>
        <w:t>контракт о прохождении военной службы</w:t>
      </w:r>
      <w:r>
        <w:rPr>
          <w:rFonts w:ascii="Times New Roman" w:hAnsi="Times New Roman"/>
          <w:sz w:val="28"/>
        </w:rPr>
        <w:t xml:space="preserve"> в соответствии с пунктом 7 статьи 38 Федерального закона от 28.03.1998 № 53-ФЗ, </w:t>
      </w:r>
      <w:r>
        <w:rPr>
          <w:rFonts w:ascii="Times New Roman" w:hAnsi="Times New Roman"/>
          <w:b w:val="1"/>
          <w:sz w:val="28"/>
        </w:rPr>
        <w:t>заключенный с 24 февраля 2022 г. и позднее;</w:t>
      </w:r>
    </w:p>
    <w:p w14:paraId="16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- </w:t>
      </w:r>
      <w:r>
        <w:rPr>
          <w:rFonts w:ascii="Times New Roman" w:hAnsi="Times New Roman"/>
          <w:b w:val="1"/>
          <w:sz w:val="28"/>
        </w:rPr>
        <w:t>контракт о пребывании в добровольческом формировании</w:t>
      </w:r>
      <w:r>
        <w:rPr>
          <w:rFonts w:ascii="Times New Roman" w:hAnsi="Times New Roman"/>
          <w:sz w:val="28"/>
        </w:rPr>
        <w:t xml:space="preserve"> (о добровольном содействии в выполнении задач, возложенных на Вооруженные Силы Российской Федерации), </w:t>
      </w:r>
      <w:r>
        <w:rPr>
          <w:rFonts w:ascii="Times New Roman" w:hAnsi="Times New Roman"/>
          <w:b w:val="1"/>
          <w:sz w:val="28"/>
        </w:rPr>
        <w:t>заключенный, начиная с 24 февраля 2022 г. и позднее;</w:t>
      </w:r>
    </w:p>
    <w:p w14:paraId="17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t xml:space="preserve">- </w:t>
      </w:r>
      <w:r>
        <w:rPr>
          <w:rFonts w:ascii="Times New Roman" w:hAnsi="Times New Roman"/>
          <w:b w:val="1"/>
          <w:sz w:val="28"/>
        </w:rPr>
        <w:t xml:space="preserve">выписка </w:t>
      </w:r>
      <w:r>
        <w:rPr>
          <w:rFonts w:ascii="Times New Roman" w:hAnsi="Times New Roman"/>
          <w:b w:val="1"/>
          <w:sz w:val="28"/>
        </w:rPr>
        <w:t>из приказа командира воинской части</w:t>
      </w:r>
      <w:r>
        <w:rPr>
          <w:rFonts w:ascii="Times New Roman" w:hAnsi="Times New Roman"/>
          <w:sz w:val="28"/>
        </w:rPr>
        <w:t xml:space="preserve"> по личному составу о заключении контракта о прохождении военной службы с лицом</w:t>
      </w:r>
      <w:r>
        <w:rPr>
          <w:rFonts w:ascii="Times New Roman" w:hAnsi="Times New Roman"/>
          <w:sz w:val="28"/>
        </w:rPr>
        <w:t>, принимающим участие в специальной военной операции, пребывающим в запасе;</w:t>
      </w:r>
    </w:p>
    <w:p w14:paraId="18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- документ, подтверждающий участие военнослужащего в специальной военной операции</w:t>
      </w:r>
      <w:r>
        <w:rPr>
          <w:rFonts w:ascii="Times New Roman" w:hAnsi="Times New Roman"/>
          <w:sz w:val="28"/>
        </w:rPr>
        <w:t xml:space="preserve"> (выполнение военнослужащим задач специальной военной операции), в том числе выданный воинской частью;</w:t>
      </w:r>
    </w:p>
    <w:p w14:paraId="19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t>- документ, подтверждающий отношение гражданина к членам семьи лица, принимающего участие в специальной военной операции</w:t>
      </w:r>
      <w:r>
        <w:rPr>
          <w:rFonts w:ascii="Times New Roman" w:hAnsi="Times New Roman"/>
          <w:sz w:val="28"/>
        </w:rPr>
        <w:t xml:space="preserve"> (свидетельство о рождении, заключении (расторжении) брака и его нотариально удостоверенный перевод на русский язык в случае, если оно выдано компетентным органом иностранного государства;</w:t>
      </w:r>
    </w:p>
    <w:p w14:paraId="1A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</w:t>
      </w:r>
      <w:r>
        <w:rPr>
          <w:rFonts w:ascii="Times New Roman" w:hAnsi="Times New Roman"/>
          <w:b w:val="1"/>
          <w:sz w:val="28"/>
        </w:rPr>
        <w:t>справка об обучении ребенка старше 18 лет по очной форме обучения в образовательной организации</w:t>
      </w:r>
      <w:r>
        <w:rPr>
          <w:rFonts w:ascii="Times New Roman" w:hAnsi="Times New Roman"/>
          <w:sz w:val="28"/>
        </w:rPr>
        <w:t xml:space="preserve"> (за исключением организации дополнительного образования) и ее нотариально удостоверенный перевод на русский язык, если такая справка выдана компетентным органом (организацией) иностранного государства;</w:t>
      </w:r>
    </w:p>
    <w:p w14:paraId="1B000000">
      <w:pPr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документ, подтверждающий правовые основания владения и пользования гражданином жилым помещением;</w:t>
      </w:r>
    </w:p>
    <w:p w14:paraId="1C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 xml:space="preserve">- </w:t>
      </w:r>
      <w:r>
        <w:rPr>
          <w:rFonts w:ascii="Times New Roman" w:hAnsi="Times New Roman"/>
          <w:b w:val="1"/>
          <w:sz w:val="28"/>
        </w:rPr>
        <w:t>квитанции</w:t>
      </w:r>
      <w:r>
        <w:rPr>
          <w:rFonts w:ascii="Times New Roman" w:hAnsi="Times New Roman"/>
          <w:b w:val="1"/>
          <w:sz w:val="28"/>
        </w:rPr>
        <w:t xml:space="preserve"> за два месяца, предшествующих месяца обращения за предоставлением компенсации на ЖКУ.</w:t>
      </w:r>
    </w:p>
    <w:p w14:paraId="1D000000">
      <w:pPr>
        <w:ind/>
        <w:jc w:val="both"/>
        <w:rPr>
          <w:rFonts w:ascii="Times New Roman" w:hAnsi="Times New Roman"/>
          <w:b w:val="1"/>
          <w:sz w:val="28"/>
        </w:rPr>
      </w:pPr>
    </w:p>
    <w:p w14:paraId="1E000000">
      <w:pPr>
        <w:ind/>
        <w:jc w:val="both"/>
        <w:rPr>
          <w:rFonts w:ascii="Times New Roman" w:hAnsi="Times New Roman"/>
          <w:b w:val="1"/>
          <w:sz w:val="28"/>
        </w:rPr>
      </w:pPr>
    </w:p>
    <w:p w14:paraId="1F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8163597"/>
            <wp:effectExtent b="0" l="0" r="0" t="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rcRect b="0" l="0" r="0" t="0"/>
                    <a:stretch/>
                  </pic:blipFill>
                  <pic:spPr>
                    <a:xfrm flipH="false" flipV="false" rot="0">
                      <a:ext cx="5940425" cy="8163597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20000000">
      <w:pPr>
        <w:ind/>
        <w:jc w:val="both"/>
        <w:rPr>
          <w:rFonts w:ascii="Times New Roman" w:hAnsi="Times New Roman"/>
          <w:b w:val="1"/>
          <w:sz w:val="28"/>
        </w:rPr>
      </w:pPr>
    </w:p>
    <w:p w14:paraId="21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8163597"/>
            <wp:effectExtent b="0" l="0" r="0" t="0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5940425" cy="8163597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22000000">
      <w:pPr>
        <w:ind/>
        <w:jc w:val="both"/>
        <w:rPr>
          <w:rFonts w:ascii="Times New Roman" w:hAnsi="Times New Roman"/>
          <w:b w:val="1"/>
          <w:sz w:val="28"/>
        </w:rPr>
      </w:pPr>
    </w:p>
    <w:p w14:paraId="23000000">
      <w:pPr>
        <w:ind/>
        <w:jc w:val="both"/>
        <w:rPr>
          <w:rFonts w:ascii="Times New Roman" w:hAnsi="Times New Roman"/>
          <w:b w:val="1"/>
          <w:sz w:val="28"/>
        </w:rPr>
      </w:pPr>
    </w:p>
    <w:p w14:paraId="24000000">
      <w:pPr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6169660" cy="8394700"/>
            <wp:effectExtent b="0" l="0" r="0" t="0"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6169660" cy="839470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25000000">
      <w:pPr>
        <w:ind/>
        <w:jc w:val="both"/>
        <w:rPr>
          <w:rFonts w:ascii="Times New Roman" w:hAnsi="Times New Roman"/>
          <w:b w:val="1"/>
          <w:sz w:val="28"/>
        </w:rPr>
      </w:pPr>
    </w:p>
    <w:sectPr>
      <w:pgSz w:h="16838" w:orient="portrait" w:w="11906"/>
      <w:pgMar w:bottom="1134" w:footer="708" w:gutter="0" w:header="708" w:left="1701" w:right="850" w:top="1134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200" w:before="0" w:line="276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</w:style>
  <w:style w:default="1" w:styleId="Style_1_ch" w:type="character">
    <w:name w:val="Normal"/>
    <w:link w:val="Style_1"/>
  </w:style>
  <w:style w:styleId="Style_2" w:type="paragraph">
    <w:name w:val="toc 2"/>
    <w:next w:val="Style_1"/>
    <w:link w:val="Style_2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2_ch" w:type="character">
    <w:name w:val="toc 2"/>
    <w:link w:val="Style_2"/>
    <w:rPr>
      <w:rFonts w:ascii="XO Thames" w:hAnsi="XO Thames"/>
      <w:sz w:val="28"/>
    </w:rPr>
  </w:style>
  <w:style w:styleId="Style_3" w:type="paragraph">
    <w:name w:val="toc 4"/>
    <w:next w:val="Style_1"/>
    <w:link w:val="Style_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3_ch" w:type="character">
    <w:name w:val="toc 4"/>
    <w:link w:val="Style_3"/>
    <w:rPr>
      <w:rFonts w:ascii="XO Thames" w:hAnsi="XO Thames"/>
      <w:sz w:val="28"/>
    </w:rPr>
  </w:style>
  <w:style w:styleId="Style_4" w:type="paragraph">
    <w:name w:val="toc 6"/>
    <w:next w:val="Style_1"/>
    <w:link w:val="Style_4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4_ch" w:type="character">
    <w:name w:val="toc 6"/>
    <w:link w:val="Style_4"/>
    <w:rPr>
      <w:rFonts w:ascii="XO Thames" w:hAnsi="XO Thames"/>
      <w:sz w:val="28"/>
    </w:rPr>
  </w:style>
  <w:style w:styleId="Style_5" w:type="paragraph">
    <w:name w:val="toc 7"/>
    <w:next w:val="Style_1"/>
    <w:link w:val="Style_5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5_ch" w:type="character">
    <w:name w:val="toc 7"/>
    <w:link w:val="Style_5"/>
    <w:rPr>
      <w:rFonts w:ascii="XO Thames" w:hAnsi="XO Thames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6_ch" w:type="character">
    <w:name w:val="heading 3"/>
    <w:link w:val="Style_6"/>
    <w:rPr>
      <w:rFonts w:ascii="XO Thames" w:hAnsi="XO Thames"/>
      <w:b w:val="1"/>
      <w:sz w:val="26"/>
    </w:rPr>
  </w:style>
  <w:style w:styleId="Style_7" w:type="paragraph">
    <w:name w:val="Default Paragraph Font"/>
    <w:link w:val="Style_7_ch"/>
  </w:style>
  <w:style w:styleId="Style_7_ch" w:type="character">
    <w:name w:val="Default Paragraph Font"/>
    <w:link w:val="Style_7"/>
  </w:style>
  <w:style w:styleId="Style_8" w:type="paragraph">
    <w:name w:val="toc 3"/>
    <w:next w:val="Style_1"/>
    <w:link w:val="Style_8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8_ch" w:type="character">
    <w:name w:val="toc 3"/>
    <w:link w:val="Style_8"/>
    <w:rPr>
      <w:rFonts w:ascii="XO Thames" w:hAnsi="XO Thames"/>
      <w:sz w:val="28"/>
    </w:rPr>
  </w:style>
  <w:style w:styleId="Style_9" w:type="paragraph">
    <w:name w:val="Balloon Text"/>
    <w:basedOn w:val="Style_1"/>
    <w:link w:val="Style_9_ch"/>
    <w:pPr>
      <w:spacing w:after="0" w:line="240" w:lineRule="auto"/>
      <w:ind/>
    </w:pPr>
    <w:rPr>
      <w:rFonts w:ascii="Tahoma" w:hAnsi="Tahoma"/>
      <w:sz w:val="16"/>
    </w:rPr>
  </w:style>
  <w:style w:styleId="Style_9_ch" w:type="character">
    <w:name w:val="Balloon Text"/>
    <w:basedOn w:val="Style_1_ch"/>
    <w:link w:val="Style_9"/>
    <w:rPr>
      <w:rFonts w:ascii="Tahoma" w:hAnsi="Tahoma"/>
      <w:sz w:val="16"/>
    </w:rPr>
  </w:style>
  <w:style w:styleId="Style_10" w:type="paragraph">
    <w:name w:val="heading 5"/>
    <w:next w:val="Style_1"/>
    <w:link w:val="Style_10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0_ch" w:type="character">
    <w:name w:val="heading 5"/>
    <w:link w:val="Style_10"/>
    <w:rPr>
      <w:rFonts w:ascii="XO Thames" w:hAnsi="XO Thames"/>
      <w:b w:val="1"/>
      <w:sz w:val="22"/>
    </w:rPr>
  </w:style>
  <w:style w:styleId="Style_11" w:type="paragraph">
    <w:name w:val="heading 1"/>
    <w:next w:val="Style_1"/>
    <w:link w:val="Style_11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1_ch" w:type="character">
    <w:name w:val="heading 1"/>
    <w:link w:val="Style_11"/>
    <w:rPr>
      <w:rFonts w:ascii="XO Thames" w:hAnsi="XO Thames"/>
      <w:b w:val="1"/>
      <w:sz w:val="32"/>
    </w:rPr>
  </w:style>
  <w:style w:styleId="Style_12" w:type="paragraph">
    <w:name w:val="Hyperlink"/>
    <w:link w:val="Style_12_ch"/>
    <w:rPr>
      <w:color w:val="0000FF"/>
      <w:u w:val="single"/>
    </w:rPr>
  </w:style>
  <w:style w:styleId="Style_12_ch" w:type="character">
    <w:name w:val="Hyperlink"/>
    <w:link w:val="Style_12"/>
    <w:rPr>
      <w:color w:val="0000FF"/>
      <w:u w:val="single"/>
    </w:rPr>
  </w:style>
  <w:style w:styleId="Style_13" w:type="paragraph">
    <w:name w:val="Footnote"/>
    <w:link w:val="Style_13_ch"/>
    <w:pPr>
      <w:ind w:firstLine="851" w:left="0"/>
      <w:jc w:val="both"/>
    </w:pPr>
    <w:rPr>
      <w:rFonts w:ascii="XO Thames" w:hAnsi="XO Thames"/>
      <w:sz w:val="22"/>
    </w:rPr>
  </w:style>
  <w:style w:styleId="Style_13_ch" w:type="character">
    <w:name w:val="Footnote"/>
    <w:link w:val="Style_13"/>
    <w:rPr>
      <w:rFonts w:ascii="XO Thames" w:hAnsi="XO Thames"/>
      <w:sz w:val="22"/>
    </w:rPr>
  </w:style>
  <w:style w:styleId="Style_14" w:type="paragraph">
    <w:name w:val="toc 1"/>
    <w:next w:val="Style_1"/>
    <w:link w:val="Style_14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4_ch" w:type="character">
    <w:name w:val="toc 1"/>
    <w:link w:val="Style_14"/>
    <w:rPr>
      <w:rFonts w:ascii="XO Thames" w:hAnsi="XO Thames"/>
      <w:b w:val="1"/>
      <w:sz w:val="28"/>
    </w:rPr>
  </w:style>
  <w:style w:styleId="Style_15" w:type="paragraph">
    <w:name w:val="Header and Footer"/>
    <w:link w:val="Style_15_ch"/>
    <w:pPr>
      <w:spacing w:line="240" w:lineRule="auto"/>
      <w:ind/>
      <w:jc w:val="both"/>
    </w:pPr>
    <w:rPr>
      <w:rFonts w:ascii="XO Thames" w:hAnsi="XO Thames"/>
      <w:sz w:val="20"/>
    </w:rPr>
  </w:style>
  <w:style w:styleId="Style_15_ch" w:type="character">
    <w:name w:val="Header and Footer"/>
    <w:link w:val="Style_15"/>
    <w:rPr>
      <w:rFonts w:ascii="XO Thames" w:hAnsi="XO Thames"/>
      <w:sz w:val="20"/>
    </w:rPr>
  </w:style>
  <w:style w:styleId="Style_16" w:type="paragraph">
    <w:name w:val="toc 9"/>
    <w:next w:val="Style_1"/>
    <w:link w:val="Style_16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6_ch" w:type="character">
    <w:name w:val="toc 9"/>
    <w:link w:val="Style_16"/>
    <w:rPr>
      <w:rFonts w:ascii="XO Thames" w:hAnsi="XO Thames"/>
      <w:sz w:val="28"/>
    </w:rPr>
  </w:style>
  <w:style w:styleId="Style_17" w:type="paragraph">
    <w:name w:val="toc 8"/>
    <w:next w:val="Style_1"/>
    <w:link w:val="Style_17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7_ch" w:type="character">
    <w:name w:val="toc 8"/>
    <w:link w:val="Style_17"/>
    <w:rPr>
      <w:rFonts w:ascii="XO Thames" w:hAnsi="XO Thames"/>
      <w:sz w:val="28"/>
    </w:rPr>
  </w:style>
  <w:style w:styleId="Style_18" w:type="paragraph">
    <w:name w:val="toc 5"/>
    <w:next w:val="Style_1"/>
    <w:link w:val="Style_18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18_ch" w:type="character">
    <w:name w:val="toc 5"/>
    <w:link w:val="Style_18"/>
    <w:rPr>
      <w:rFonts w:ascii="XO Thames" w:hAnsi="XO Thames"/>
      <w:sz w:val="28"/>
    </w:rPr>
  </w:style>
  <w:style w:styleId="Style_19" w:type="paragraph">
    <w:name w:val="Subtitle"/>
    <w:next w:val="Style_1"/>
    <w:link w:val="Style_19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19_ch" w:type="character">
    <w:name w:val="Subtitle"/>
    <w:link w:val="Style_19"/>
    <w:rPr>
      <w:rFonts w:ascii="XO Thames" w:hAnsi="XO Thames"/>
      <w:i w:val="1"/>
      <w:sz w:val="24"/>
    </w:rPr>
  </w:style>
  <w:style w:styleId="Style_20" w:type="paragraph">
    <w:name w:val="Title"/>
    <w:next w:val="Style_1"/>
    <w:link w:val="Style_20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0_ch" w:type="character">
    <w:name w:val="Title"/>
    <w:link w:val="Style_20"/>
    <w:rPr>
      <w:rFonts w:ascii="XO Thames" w:hAnsi="XO Thames"/>
      <w:b w:val="1"/>
      <w:caps w:val="1"/>
      <w:sz w:val="40"/>
    </w:rPr>
  </w:style>
  <w:style w:styleId="Style_21" w:type="paragraph">
    <w:name w:val="heading 4"/>
    <w:next w:val="Style_1"/>
    <w:link w:val="Style_21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1_ch" w:type="character">
    <w:name w:val="heading 4"/>
    <w:link w:val="Style_21"/>
    <w:rPr>
      <w:rFonts w:ascii="XO Thames" w:hAnsi="XO Thames"/>
      <w:b w:val="1"/>
      <w:sz w:val="24"/>
    </w:rPr>
  </w:style>
  <w:style w:styleId="Style_22" w:type="paragraph">
    <w:name w:val="heading 2"/>
    <w:next w:val="Style_1"/>
    <w:link w:val="Style_22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2_ch" w:type="character">
    <w:name w:val="heading 2"/>
    <w:link w:val="Style_22"/>
    <w:rPr>
      <w:rFonts w:ascii="XO Thames" w:hAnsi="XO Thames"/>
      <w:b w:val="1"/>
      <w:sz w:val="28"/>
    </w:rPr>
  </w:style>
  <w:style w:default="1" w:styleId="Style_23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9" Target="theme/theme1.xml" Type="http://schemas.openxmlformats.org/officeDocument/2006/relationships/theme"/>
  <Relationship Id="rId8" Target="webSettings.xml" Type="http://schemas.openxmlformats.org/officeDocument/2006/relationships/webSettings"/>
  <Relationship Id="rId7" Target="stylesWithEffects.xml" Type="http://schemas.microsoft.com/office/2007/relationships/stylesWithEffects"/>
  <Relationship Id="rId6" Target="styles.xml" Type="http://schemas.openxmlformats.org/officeDocument/2006/relationships/styles"/>
  <Relationship Id="rId5" Target="settings.xml" Type="http://schemas.openxmlformats.org/officeDocument/2006/relationships/settings"/>
  <Relationship Id="rId4" Target="fontTable.xml" Type="http://schemas.openxmlformats.org/officeDocument/2006/relationships/fontTable"/>
  <Relationship Id="rId3" Target="media/3.png" Type="http://schemas.openxmlformats.org/officeDocument/2006/relationships/image"/>
  <Relationship Id="rId2" Target="media/2.jpeg" Type="http://schemas.openxmlformats.org/officeDocument/2006/relationships/image"/>
  <Relationship Id="rId1" Target="media/1.jpe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MyOffice-CoreFramework-Linux/25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2024-02-12T08:09:07Z</dcterms:modified>
</cp:coreProperties>
</file>